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85" w:rsidRDefault="00AA7885" w:rsidP="00AA7885">
      <w:pPr>
        <w:spacing w:line="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A7885" w:rsidRDefault="00AA7885" w:rsidP="00AA7885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к заявке на закупку</w:t>
      </w:r>
    </w:p>
    <w:p w:rsidR="00AA7885" w:rsidRDefault="00AA7885" w:rsidP="00AA7885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медицинских изделий</w:t>
      </w:r>
    </w:p>
    <w:p w:rsidR="00AA7885" w:rsidRDefault="00AA7885" w:rsidP="00AA7885">
      <w:pPr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85">
        <w:rPr>
          <w:rFonts w:ascii="Times New Roman" w:hAnsi="Times New Roman" w:cs="Times New Roman"/>
          <w:b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:rsidR="00AA7885" w:rsidRDefault="00AA7885" w:rsidP="00AA7885">
      <w:pPr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85" w:rsidRDefault="00AA7885" w:rsidP="00AA7885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 xml:space="preserve">1.Состав (комплектация) медицинских изделий: </w:t>
      </w:r>
    </w:p>
    <w:tbl>
      <w:tblPr>
        <w:tblStyle w:val="a8"/>
        <w:tblW w:w="4995" w:type="pct"/>
        <w:tblLook w:val="04A0" w:firstRow="1" w:lastRow="0" w:firstColumn="1" w:lastColumn="0" w:noHBand="0" w:noVBand="1"/>
      </w:tblPr>
      <w:tblGrid>
        <w:gridCol w:w="916"/>
        <w:gridCol w:w="3272"/>
        <w:gridCol w:w="2297"/>
        <w:gridCol w:w="3273"/>
      </w:tblGrid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Однофотонный эмиссионный компьютерный томограф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Гентри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Пульт управления основными функциями томографа (на гентри)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Монитор позиционирования пациента (на гентри)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Коллиматор низкоэнергетический высокого разрешения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Коллиматор низкоэнергетический общего назначения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Коллиматор PINHOL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Тележка для хранения и смены коллиматоров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Стол пациента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Комплект принадлежностей для позиционирования и фиксации пациента на деке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Рабочая станция управления рабочим процессом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Цветной ЖК монитор рабочей станции управления рабочим процессом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Рабочая станция обработки данных (врачебная)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 xml:space="preserve">Цветной ЖК монитор </w:t>
            </w:r>
            <w:r w:rsidRPr="00AA7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станции обработки данных (врачебной)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1.1.15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Комплект фантомов NEMA для калибровки и проверки разрешения и линейности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1.1.16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для ОФЭКТ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для рабочей станции управления рабочим процессом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85" w:rsidTr="00AA7885">
        <w:tc>
          <w:tcPr>
            <w:tcW w:w="2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1.1.18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для рабочей станции обработки данных (врачебной)</w:t>
            </w:r>
          </w:p>
        </w:tc>
        <w:tc>
          <w:tcPr>
            <w:tcW w:w="1250" w:type="pct"/>
          </w:tcPr>
          <w:p w:rsidR="00AA7885" w:rsidRPr="00AA7885" w:rsidRDefault="00AA7885" w:rsidP="00AA7885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50" w:type="pct"/>
          </w:tcPr>
          <w:p w:rsidR="00AA7885" w:rsidRPr="00AA7885" w:rsidRDefault="00AA7885" w:rsidP="00AA7885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7885" w:rsidRDefault="00AA7885" w:rsidP="00AA7885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AA7885" w:rsidRDefault="00AA7885" w:rsidP="00AA7885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2. Показатели (характеристики) предмета государственной закупки, сформированные согласно статье 21 Закона Республики Беларусь “О государственных закупках товаров (работ, услуг)”.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701"/>
        <w:gridCol w:w="851"/>
      </w:tblGrid>
      <w:tr w:rsidR="001759A2" w:rsidRPr="001759A2" w:rsidTr="00F777C3">
        <w:trPr>
          <w:trHeight w:val="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При-меча-ния</w:t>
            </w:r>
          </w:p>
        </w:tc>
      </w:tr>
      <w:tr w:rsidR="001759A2" w:rsidRPr="001759A2" w:rsidTr="00F777C3">
        <w:trPr>
          <w:trHeight w:val="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Гентри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Гентри концентрического типа с отдельным кольцом крепления для каждого детектора и их независимого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степеней свободы для каждого детектора (вращение, перемещение)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Максимальный наклон детектора в каудальном/краниальном направлениях, градус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+15/-15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апертура гентри с установленными коллиматорами LEHR, см,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Диапазон вращения гентри, градус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Диагональ монитора позиционирования пациента на гентри, дюйм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Автоматическое оконтуривание тела пациента в режиме реального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 исследования в сидячем, стоячем положениях, на каталке и кресле-каталке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Детекторы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детекторов,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Размер рабочего поля детектора,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380×500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Размерности матрицы сбора изображений в основном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128х128, 256х256, 512х512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значений пространственного разрешения в центральной (CFOV) и полезной (UFOV) частях поля зрения детектора,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±5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Собственное пространственное разрешение (UFOV),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Собственное энергетическое разрешение для энергии 140 кэВ,%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Собственная интегральная неоднородность изображения (CFOV),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Собственная дифференциальная неоднородность изображения (CFOV),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Собственная абсолютная нелинейность изображения (CFOV),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Собственная дифференциальная нелинейность изображения (CFOV),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Цифровая система коррекции энергии, линейности и однородности в режиме реального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Максимальная наблюдаемая скорость счета для 20% энергетического окна, импульс/сек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Пространственное разрешение в поперечном сечении,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Системная планарная чувствительность с низкоэнергетическим коллиматором высокого разрешения, импульс/мин./мкКи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автоматической настройки детекторов, позволяющая в том числе возвращаться к заводским установкам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2.2.16.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автоматической защиты от столкновения детекторов с пациентом или другим объектом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Набор коллиматоров</w:t>
            </w:r>
            <w:r w:rsidRPr="001759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759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 тележками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коллиматоров низкоэнергетический высокого разрешения,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коллиматоров низкоэнергетический общего назначения,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коллиматоров PINHOL,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мест одновременного хранения либо смены коллиматоров на каждой тележке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Длина деки стола,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нагрузка (масса пациента) на стол, 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Максимальная длина непрерывного сканирования при исследовании всего тела,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Нижнее </w:t>
            </w:r>
            <w:bookmarkStart w:id="0" w:name="OLE_LINK22"/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положение стола пациента от пола, см</w:t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Диапазон скорости горизонтального сканирования, см/мин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5-30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Моторизованный привод стола по всем направлениям с возможностью ручного перемещения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Коэффициент поглощения излучения декой стола при излучении в 140 кэВ,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Максимальное отклонение деки стола при весе пациента 90 кг,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2.4.9.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Устойчивость материала поверхности деки стола, принадлежностей для позиционирования и фиксации пациента, к дезинфицирующей обработке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станция управления рабочим процессом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Язык интерфейса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Объем оперативной памяти, ГБ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Объем жесткого диска, ТБ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Диагональ ЖК монитора, дюйм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Нативное разрешение ЖК монитора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1920x1080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записи результатов на 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/DVD/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Высокоинтегрированный и полностью DICOM совместимый программный пакет для обработки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проведения исследований: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- планарных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Cs/>
                <w:sz w:val="28"/>
                <w:szCs w:val="28"/>
              </w:rPr>
              <w:t>- статических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Cs/>
                <w:sz w:val="28"/>
                <w:szCs w:val="28"/>
              </w:rPr>
              <w:t>- динамических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9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SPECT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управление для всех видов ОФЭКТ исследований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для исследования функций мочевыводящей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для исследования костной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для исследования щитовидной железы (с автоматическим подсчетом коэффициента захвата РФП)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исследования паращитовидных 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исследования легких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для исследования функций гепатобилиарной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2.5.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Программный пакет для создания трехмерных изображений в режиме объемной визуализации для ОФЭКТ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2.5.17.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просмотра полученных данных исследований: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- планарных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- статических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- динамических</w:t>
            </w:r>
          </w:p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- SPECT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станция обработки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Язык интерфейса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Объем оперативной памяти, ГБ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Объем жесткого диска, ТБ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Количество ЖК мониторов,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Диагональ ЖК мониторов, дюйм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Нативное разрешение ЖК мониторов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1920x1080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записи результатов на 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/DVD/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Высокоинтегрированный и полностью DICOM совместимый программный пакет для обработки данных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просмотра данных ОФЭКТ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Программный пакет для создания трехмерных изображений в режиме объемной визуализации для ОФЭКТ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для совмещения ОФЭКТ-изображений с КТ- и МРТ-изображениями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анализа данных исследований легких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анализа данных исследований мочевыводящей системы (динамические и статические)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анализа данных исследований щитовидной железы (с автоматическим подсчетом коэффициента захвата РФП)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анализа данных исследований паращитовидных желез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 w:rsidRPr="00175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анализа данных исследований костной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2.6.17.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анализа данных </w:t>
            </w: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динамического исследования гепатобилиарной системы.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Фантомы NEMA для калибровки и проверки разрешения и линейности, 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Время обеспечения автономной работы источника бесперебойного питания для ОФЭКТ, мин.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 xml:space="preserve">Время обеспечения автономной работы источника бесперебойного питания для рабочей станции управления рабочим процессом, мин.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A2" w:rsidRPr="001759A2" w:rsidTr="00F777C3">
        <w:trPr>
          <w:trHeight w:val="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Время обеспечения автономной работы источника бесперебойного питания для рабочей станции обработки данных (врачебной),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2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2" w:rsidRPr="001759A2" w:rsidRDefault="001759A2" w:rsidP="001759A2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A2" w:rsidRPr="001759A2" w:rsidRDefault="001759A2" w:rsidP="001759A2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1759A2">
        <w:rPr>
          <w:rFonts w:ascii="Times New Roman" w:hAnsi="Times New Roman" w:cs="Times New Roman"/>
          <w:sz w:val="28"/>
          <w:szCs w:val="28"/>
        </w:rPr>
        <w:t>Примечание:</w:t>
      </w:r>
    </w:p>
    <w:p w:rsidR="00AA7885" w:rsidRDefault="001759A2" w:rsidP="001759A2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1759A2">
        <w:rPr>
          <w:rFonts w:ascii="Times New Roman" w:hAnsi="Times New Roman" w:cs="Times New Roman"/>
          <w:sz w:val="28"/>
          <w:szCs w:val="28"/>
        </w:rPr>
        <w:t>*2.2.1. «Количество детекторов, не менее 2»: уменьшение количества детекторов увеличит время большинства исследований более чем на 100%, снизит их эффективность, повысит лучевую нагрузку на персонал.</w:t>
      </w:r>
    </w:p>
    <w:p w:rsidR="001759A2" w:rsidRDefault="001759A2" w:rsidP="00AA7885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AA7885" w:rsidRDefault="00AA7885" w:rsidP="00AA7885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AA7885">
        <w:rPr>
          <w:rFonts w:ascii="Times New Roman" w:hAnsi="Times New Roman" w:cs="Times New Roman"/>
          <w:sz w:val="28"/>
          <w:szCs w:val="28"/>
        </w:rPr>
        <w:t>3. Требования, предъявляемые к качеству товара, гарантийному сроку (годности, стерильности).</w:t>
      </w:r>
    </w:p>
    <w:p w:rsidR="00AA7885" w:rsidRDefault="00AA7885" w:rsidP="001759A2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сервисное обслуживание всего комплекта оборудования не менее 12 месяцев с даты ввода в эксплуатацию.</w:t>
      </w:r>
    </w:p>
    <w:p w:rsidR="00AA7885" w:rsidRDefault="00AA7885" w:rsidP="00AA7885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модификация в течении всего срока гарантийного обслуживания, рекомендуемая производителем и связанная с улучшением качест</w:t>
      </w:r>
      <w:r w:rsidR="00C15EC6">
        <w:rPr>
          <w:rFonts w:ascii="Times New Roman" w:hAnsi="Times New Roman" w:cs="Times New Roman"/>
          <w:sz w:val="28"/>
          <w:szCs w:val="28"/>
        </w:rPr>
        <w:t>ва и безопасности оборудования.</w:t>
      </w:r>
    </w:p>
    <w:p w:rsidR="00AA7885" w:rsidRDefault="00AA7885" w:rsidP="00AA7885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7885" w:rsidRDefault="00AA7885" w:rsidP="00AA7885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7885">
      <w:pgSz w:w="11900" w:h="16840"/>
      <w:pgMar w:top="555" w:right="590" w:bottom="969" w:left="1532" w:header="127" w:footer="5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E3" w:rsidRDefault="00E843E3">
      <w:r>
        <w:separator/>
      </w:r>
    </w:p>
  </w:endnote>
  <w:endnote w:type="continuationSeparator" w:id="0">
    <w:p w:rsidR="00E843E3" w:rsidRDefault="00E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E3" w:rsidRDefault="00E843E3"/>
  </w:footnote>
  <w:footnote w:type="continuationSeparator" w:id="0">
    <w:p w:rsidR="00E843E3" w:rsidRDefault="00E84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C95"/>
    <w:multiLevelType w:val="multilevel"/>
    <w:tmpl w:val="88C0C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E4E07"/>
    <w:multiLevelType w:val="multilevel"/>
    <w:tmpl w:val="38FA3D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83ECA"/>
    <w:multiLevelType w:val="multilevel"/>
    <w:tmpl w:val="8CEA53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F487E"/>
    <w:multiLevelType w:val="multilevel"/>
    <w:tmpl w:val="987AEA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D1F8E"/>
    <w:multiLevelType w:val="multilevel"/>
    <w:tmpl w:val="6158FD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2"/>
    <w:rsid w:val="000A6E18"/>
    <w:rsid w:val="000F0506"/>
    <w:rsid w:val="001759A2"/>
    <w:rsid w:val="001B0ECE"/>
    <w:rsid w:val="00246DBD"/>
    <w:rsid w:val="00294A04"/>
    <w:rsid w:val="002C27F8"/>
    <w:rsid w:val="002E5424"/>
    <w:rsid w:val="0031129E"/>
    <w:rsid w:val="00387E7B"/>
    <w:rsid w:val="003F6477"/>
    <w:rsid w:val="00402917"/>
    <w:rsid w:val="00473203"/>
    <w:rsid w:val="00492E5B"/>
    <w:rsid w:val="004E78C4"/>
    <w:rsid w:val="0053528E"/>
    <w:rsid w:val="005D0742"/>
    <w:rsid w:val="00616132"/>
    <w:rsid w:val="0063094F"/>
    <w:rsid w:val="00644852"/>
    <w:rsid w:val="00730FC5"/>
    <w:rsid w:val="00761318"/>
    <w:rsid w:val="007A28FC"/>
    <w:rsid w:val="007E48D1"/>
    <w:rsid w:val="00857533"/>
    <w:rsid w:val="00866D09"/>
    <w:rsid w:val="00957982"/>
    <w:rsid w:val="009D4034"/>
    <w:rsid w:val="009E7431"/>
    <w:rsid w:val="00A01268"/>
    <w:rsid w:val="00A14254"/>
    <w:rsid w:val="00A609AB"/>
    <w:rsid w:val="00AA1600"/>
    <w:rsid w:val="00AA7885"/>
    <w:rsid w:val="00AD4AC5"/>
    <w:rsid w:val="00B35C1C"/>
    <w:rsid w:val="00B54FD8"/>
    <w:rsid w:val="00B600E7"/>
    <w:rsid w:val="00B619CF"/>
    <w:rsid w:val="00C15EC6"/>
    <w:rsid w:val="00C55680"/>
    <w:rsid w:val="00CD76EA"/>
    <w:rsid w:val="00CF3E30"/>
    <w:rsid w:val="00D05448"/>
    <w:rsid w:val="00D31283"/>
    <w:rsid w:val="00D341FE"/>
    <w:rsid w:val="00E843E3"/>
    <w:rsid w:val="00E96CE8"/>
    <w:rsid w:val="00F00560"/>
    <w:rsid w:val="00F338F5"/>
    <w:rsid w:val="00F366C2"/>
    <w:rsid w:val="00F777C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B41F-9FB8-4C4B-9934-F13F579D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B600E7"/>
    <w:pPr>
      <w:keepNext/>
      <w:keepLines/>
      <w:widowControl/>
      <w:spacing w:before="320" w:after="200"/>
      <w:outlineLvl w:val="3"/>
    </w:pPr>
    <w:rPr>
      <w:rFonts w:ascii="Arial" w:eastAsia="Arial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F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E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00E7"/>
    <w:rPr>
      <w:rFonts w:ascii="Arial" w:eastAsia="Arial" w:hAnsi="Arial" w:cs="Arial"/>
      <w:b/>
      <w:bCs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777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7C3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E4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008F-DF87-401C-A9A8-361FCB2D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М. Баранова</dc:creator>
  <cp:lastModifiedBy>Сергей А. Левченко</cp:lastModifiedBy>
  <cp:revision>2</cp:revision>
  <cp:lastPrinted>2021-12-28T09:26:00Z</cp:lastPrinted>
  <dcterms:created xsi:type="dcterms:W3CDTF">2022-07-20T14:33:00Z</dcterms:created>
  <dcterms:modified xsi:type="dcterms:W3CDTF">2022-07-20T14:33:00Z</dcterms:modified>
</cp:coreProperties>
</file>