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86" w:rsidRDefault="00DC7F86" w:rsidP="00CC2D3B">
      <w:pPr>
        <w:jc w:val="right"/>
        <w:rPr>
          <w:rFonts w:eastAsia="Times New Roman" w:cs="Times New Roman"/>
          <w:szCs w:val="28"/>
          <w:lang w:eastAsia="ru-RU"/>
        </w:rPr>
      </w:pPr>
    </w:p>
    <w:p w:rsidR="00CC2D3B" w:rsidRPr="00CC2D3B" w:rsidRDefault="003220E5" w:rsidP="00CC2D3B">
      <w:pPr>
        <w:jc w:val="right"/>
        <w:rPr>
          <w:rFonts w:eastAsia="Times New Roman" w:cs="Times New Roman"/>
          <w:b/>
          <w:color w:val="000000"/>
          <w:sz w:val="24"/>
          <w:szCs w:val="20"/>
          <w:lang w:eastAsia="ru-RU"/>
        </w:rPr>
      </w:pPr>
      <w:r w:rsidRPr="003220E5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</w:t>
      </w:r>
      <w:r w:rsidR="00CC2D3B" w:rsidRPr="00CC2D3B">
        <w:rPr>
          <w:rFonts w:eastAsia="Times New Roman" w:cs="Times New Roman"/>
          <w:b/>
          <w:color w:val="000000"/>
          <w:sz w:val="24"/>
          <w:szCs w:val="20"/>
          <w:lang w:eastAsia="ru-RU"/>
        </w:rPr>
        <w:t>Приложение 1</w:t>
      </w:r>
    </w:p>
    <w:p w:rsidR="00CC2D3B" w:rsidRPr="00CC2D3B" w:rsidRDefault="00CC2D3B" w:rsidP="00CC2D3B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C2D3B">
        <w:rPr>
          <w:rFonts w:eastAsia="Times New Roman" w:cs="Times New Roman"/>
          <w:b/>
          <w:color w:val="000000"/>
          <w:sz w:val="24"/>
          <w:szCs w:val="24"/>
          <w:lang w:eastAsia="ru-RU"/>
        </w:rPr>
        <w:t>Технические характеристики (описание) медицинской техники</w:t>
      </w:r>
    </w:p>
    <w:p w:rsidR="00CC2D3B" w:rsidRPr="00CC2D3B" w:rsidRDefault="00CC2D3B" w:rsidP="00CC2D3B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C2D3B">
        <w:rPr>
          <w:rFonts w:eastAsia="Times New Roman" w:cs="Times New Roman"/>
          <w:b/>
          <w:color w:val="000000"/>
          <w:sz w:val="24"/>
          <w:szCs w:val="24"/>
          <w:lang w:eastAsia="ru-RU"/>
        </w:rPr>
        <w:t>и изделий медицинского назначения</w:t>
      </w:r>
    </w:p>
    <w:p w:rsidR="00CC2D3B" w:rsidRPr="00CC2D3B" w:rsidRDefault="00CC2D3B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CC2D3B" w:rsidRPr="00CC2D3B" w:rsidRDefault="00CC2D3B" w:rsidP="00CC2D3B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be-BY"/>
        </w:rPr>
      </w:pPr>
      <w:r w:rsidRPr="00CC2D3B">
        <w:rPr>
          <w:rFonts w:eastAsia="Times New Roman" w:cs="Times New Roman"/>
          <w:b/>
          <w:sz w:val="24"/>
          <w:szCs w:val="24"/>
          <w:lang w:eastAsia="ru-RU"/>
        </w:rPr>
        <w:t xml:space="preserve">Лот – </w:t>
      </w:r>
      <w:proofErr w:type="spellStart"/>
      <w:r w:rsidRPr="00CC2D3B">
        <w:rPr>
          <w:rFonts w:eastAsia="Times New Roman" w:cs="Times New Roman"/>
          <w:b/>
          <w:snapToGrid w:val="0"/>
          <w:sz w:val="24"/>
          <w:szCs w:val="24"/>
          <w:lang w:eastAsia="ru-RU"/>
        </w:rPr>
        <w:t>Мультиспиральный</w:t>
      </w:r>
      <w:proofErr w:type="spellEnd"/>
      <w:r w:rsidRPr="00CC2D3B">
        <w:rPr>
          <w:rFonts w:eastAsia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CC2D3B">
        <w:rPr>
          <w:rFonts w:eastAsia="Times New Roman" w:cs="Times New Roman"/>
          <w:b/>
          <w:snapToGrid w:val="0"/>
          <w:sz w:val="24"/>
          <w:szCs w:val="24"/>
          <w:lang w:eastAsia="ru-RU"/>
        </w:rPr>
        <w:t>рентгенокомпьютерный</w:t>
      </w:r>
      <w:proofErr w:type="spellEnd"/>
      <w:r w:rsidRPr="00CC2D3B">
        <w:rPr>
          <w:rFonts w:eastAsia="Times New Roman" w:cs="Times New Roman"/>
          <w:b/>
          <w:snapToGrid w:val="0"/>
          <w:sz w:val="24"/>
          <w:szCs w:val="24"/>
          <w:lang w:eastAsia="ru-RU"/>
        </w:rPr>
        <w:t xml:space="preserve"> томограф</w:t>
      </w:r>
    </w:p>
    <w:p w:rsidR="00CC2D3B" w:rsidRPr="00CC2D3B" w:rsidRDefault="00CC2D3B" w:rsidP="00CC2D3B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CC2D3B" w:rsidRPr="00CC2D3B" w:rsidRDefault="00CC2D3B" w:rsidP="00CC2D3B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2D3B">
        <w:rPr>
          <w:rFonts w:eastAsia="Times New Roman" w:cs="Times New Roman"/>
          <w:b/>
          <w:sz w:val="24"/>
          <w:szCs w:val="24"/>
          <w:lang w:eastAsia="be-BY"/>
        </w:rPr>
        <w:t>Состав (комплектация) оборудования (1 комплект)</w:t>
      </w: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222"/>
        <w:gridCol w:w="879"/>
      </w:tblGrid>
      <w:tr w:rsidR="00CC2D3B" w:rsidRPr="00CC2D3B" w:rsidTr="00CC2D3B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CC2D3B" w:rsidRPr="00CC2D3B" w:rsidTr="00CC2D3B">
        <w:trPr>
          <w:trHeight w:val="32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D3B" w:rsidRPr="00CC2D3B" w:rsidTr="00CC2D3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Рентгеновская трубка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D3B" w:rsidRPr="00CC2D3B" w:rsidTr="00CC2D3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 детекторов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D3B" w:rsidRPr="00CC2D3B" w:rsidTr="00CC2D3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Гентри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D3B" w:rsidRPr="00CC2D3B" w:rsidTr="00CC2D3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 пациента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D3B" w:rsidRPr="00CC2D3B" w:rsidTr="00CC2D3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6313CF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Цифровая (компьютерная) система управления сканированием, реконструкции, хранения, просмотра и обработки изображений (консоль оператора), с устройством архивации на DVD/USB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D3B" w:rsidRPr="00CC2D3B" w:rsidTr="00CC2D3B">
        <w:trPr>
          <w:trHeight w:val="22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Программное медицинское обеспечение консоли оператора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D3B" w:rsidRPr="00CC2D3B" w:rsidTr="00CC2D3B">
        <w:trPr>
          <w:trHeight w:val="22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Цветной ЖКИ-монитор системы для управления сканированием размерами не менее 23 дюймов и разрешением не менее 1900х1200, либо 2 цветных ЖКИ-монитора, размерами не менее 19 дюймов и разрешением не менее 1280х1024 с разделением задач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D3B" w:rsidRPr="00CC2D3B" w:rsidTr="00CC2D3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Рабочая станция (серверное решение) с программным обеспечением, позволяющая нескольким пользователям (не менее 4) иметь удаленный доступ к приложениям с совместимых компьютеров в локальной сети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D3B" w:rsidRPr="00CC2D3B" w:rsidTr="00CC2D3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6313CF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Компьютер для просмотра, анализа и обработки изображений (клиент серверного решения) с устройством архивации на 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DVD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USB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, с цветным ЖКИ-монитором</w:t>
            </w: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размерами не менее 23 дюймов и разрешением не менее 1900х1200, либо 2 цветных ЖКИ-монитора, размерами не менее 19 дюймов и разрешением не менее 1280х1024 с разделением задач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C2D3B" w:rsidRPr="00CC2D3B" w:rsidTr="00CC2D3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бесперебойного питания для обеспечения работы всего диагностического комплекса при аварийных ситуациях не менее 10 минут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D3B" w:rsidRPr="00CC2D3B" w:rsidTr="00CC2D3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ЭКГ-монитор</w:t>
            </w:r>
            <w:r w:rsidR="005E14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(кардиомонитор)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D3B" w:rsidRPr="00CC2D3B" w:rsidTr="00CC2D3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D146B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Климатическая система для процедурной, пультовой и </w:t>
            </w:r>
            <w:r w:rsidR="00D146B3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технического помещения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C2D3B" w:rsidRPr="00CC2D3B" w:rsidRDefault="00CC2D3B" w:rsidP="00CC2D3B">
      <w:pPr>
        <w:spacing w:after="0" w:line="276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CC2D3B" w:rsidRPr="00CC2D3B" w:rsidRDefault="00CC2D3B" w:rsidP="00DC7F86">
      <w:pPr>
        <w:spacing w:after="0" w:line="276" w:lineRule="auto"/>
        <w:ind w:firstLine="708"/>
        <w:rPr>
          <w:rFonts w:eastAsia="Times New Roman" w:cs="Times New Roman"/>
          <w:b/>
          <w:sz w:val="24"/>
          <w:szCs w:val="24"/>
          <w:lang w:eastAsia="ru-RU"/>
        </w:rPr>
      </w:pPr>
      <w:r w:rsidRPr="00CC2D3B">
        <w:rPr>
          <w:rFonts w:eastAsia="Times New Roman" w:cs="Times New Roman"/>
          <w:b/>
          <w:sz w:val="24"/>
          <w:szCs w:val="24"/>
          <w:lang w:eastAsia="ru-RU"/>
        </w:rPr>
        <w:t>2. Технические требования</w:t>
      </w: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10"/>
        <w:gridCol w:w="3119"/>
        <w:gridCol w:w="1588"/>
      </w:tblGrid>
      <w:tr w:rsidR="00CC2D3B" w:rsidRPr="00CC2D3B" w:rsidTr="00CC2D3B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Базовые параметры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ind w:left="-99" w:right="-126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2D3B" w:rsidRPr="00CC2D3B" w:rsidTr="00CC2D3B">
        <w:trPr>
          <w:trHeight w:val="32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100 кВт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rPr>
          <w:trHeight w:val="309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Диапазон напряжения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6C2C9D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6C2C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-135 </w:t>
            </w:r>
            <w:proofErr w:type="spellStart"/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F9035E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35E">
              <w:rPr>
                <w:rFonts w:eastAsia="Times New Roman" w:cs="Times New Roman"/>
                <w:sz w:val="24"/>
                <w:szCs w:val="24"/>
                <w:lang w:eastAsia="ru-RU"/>
              </w:rPr>
              <w:t>Диапазон силы тока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F9035E" w:rsidRDefault="00CC2D3B" w:rsidP="0013236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35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13236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C2C9D">
              <w:rPr>
                <w:rFonts w:eastAsia="Times New Roman" w:cs="Times New Roman"/>
                <w:sz w:val="24"/>
                <w:szCs w:val="24"/>
                <w:lang w:eastAsia="ru-RU"/>
              </w:rPr>
              <w:t>0-</w:t>
            </w:r>
            <w:r w:rsidR="0013236D">
              <w:rPr>
                <w:rFonts w:eastAsia="Times New Roman" w:cs="Times New Roman"/>
                <w:sz w:val="24"/>
                <w:szCs w:val="24"/>
                <w:lang w:eastAsia="ru-RU"/>
              </w:rPr>
              <w:t>835</w:t>
            </w:r>
            <w:r w:rsidRPr="00F9035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F9035E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35E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Рентгеновская трубка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Теплоемкость анода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6C2C9D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6C2C9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MHU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Максимальная скорость охлаждения анода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6C2C9D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Pr="00CC2D3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C2D3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C2C9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CC2D3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CC2D3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C2D3B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</w:t>
            </w:r>
            <w:r w:rsidRPr="00CC2D3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CC2D3B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Гарантия на рентгеновскую трубку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менее 24 месяцев без ограничения количества срезов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Детекторы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rPr>
          <w:trHeight w:val="204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Число рядов детектора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6C2C9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6C2C9D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4167C" w:rsidRPr="00CC2D3B" w:rsidTr="00CC2D3B">
        <w:trPr>
          <w:trHeight w:val="204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24167C" w:rsidRPr="00CC2D3B" w:rsidRDefault="0024167C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4167C" w:rsidRPr="00CC2D3B" w:rsidRDefault="0024167C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элементов детектора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7C" w:rsidRPr="00CC2D3B" w:rsidRDefault="0024167C" w:rsidP="006C2C9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менее 50 000 элементов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7C" w:rsidRPr="00CC2D3B" w:rsidRDefault="0024167C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6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Гентри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rPr>
          <w:trHeight w:val="300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43772A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Апертура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43772A" w:rsidRDefault="00CC2D3B" w:rsidP="006C2C9D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менее 7</w:t>
            </w:r>
            <w:r w:rsidR="006C2C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377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43772A" w:rsidRDefault="003409F3" w:rsidP="00CC2D3B">
            <w:pPr>
              <w:spacing w:after="0" w:line="276" w:lineRule="auto"/>
              <w:ind w:lef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Стол пациента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Максимальная допустимая нагрузка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менее 220 кг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rPr>
          <w:trHeight w:val="279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Сканируемый диапазон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менее 200 см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Параметры сканирования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одновременно выполняемых срезов за один оборот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13236D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6C2C9D" w:rsidRPr="001323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  <w:r w:rsidR="002416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Минимальное время сканирования (полный оборот 360°)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6C2C9D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более 0,</w:t>
            </w:r>
            <w:r w:rsidR="006C2C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00218B" w:rsidRDefault="0000218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218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*</w:t>
            </w: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Минимальная толщина среза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более 0,625 мм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Максимальное поле сканирования (FOV)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менее 50 см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Максимальная длительность непрерывного спирального сканирования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менее 60 сек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2.6.6.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EF419A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Спектральный режим исследования при аксиальном и</w:t>
            </w:r>
            <w:r w:rsidR="006C2C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спиральном сканировании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EF419A" w:rsidRDefault="00EF419A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сбор данных с высокой и низкой энергией за один оборот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EF41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трубки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00218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1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7654A7" w:rsidRDefault="007654A7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.6.7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24167C" w:rsidRDefault="007654A7" w:rsidP="007654A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Режим аксиального челночного сканирования для динамических </w:t>
            </w:r>
            <w:proofErr w:type="spellStart"/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>нейрографических</w:t>
            </w:r>
            <w:proofErr w:type="spellEnd"/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>перфузионных</w:t>
            </w:r>
            <w:proofErr w:type="spellEnd"/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исследований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24167C" w:rsidRDefault="007654A7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24167C" w:rsidRDefault="007654A7" w:rsidP="00CC2D3B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654A7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7654A7" w:rsidRPr="007654A7" w:rsidRDefault="007654A7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2.6.8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654A7" w:rsidRPr="0024167C" w:rsidRDefault="007654A7" w:rsidP="007654A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Режим спирального челночного сканирования для динамических </w:t>
            </w:r>
            <w:proofErr w:type="spellStart"/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>перфузионных</w:t>
            </w:r>
            <w:proofErr w:type="spellEnd"/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исследований органов грудной клетки, брюшной полости, забрюшинного пространства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7" w:rsidRPr="0024167C" w:rsidRDefault="007654A7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7" w:rsidRPr="0024167C" w:rsidRDefault="007654A7" w:rsidP="00CC2D3B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67C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Параметры реконструкции изображения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реконструкции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6C2C9D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6C2C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изображений в сек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Низкоконтрастное</w:t>
            </w:r>
            <w:proofErr w:type="spellEnd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разрешение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F9035E" w:rsidRDefault="0043772A" w:rsidP="006C2C9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35E">
              <w:rPr>
                <w:rFonts w:eastAsia="Times New Roman" w:cs="Times New Roman"/>
                <w:bCs/>
                <w:sz w:val="24"/>
                <w:szCs w:val="24"/>
                <w:lang w:eastAsia="be-BY"/>
              </w:rPr>
              <w:t xml:space="preserve">не более 5,0мм@0,3% при дозовой нагрузке не выше 10 </w:t>
            </w:r>
            <w:proofErr w:type="spellStart"/>
            <w:r w:rsidRPr="00F9035E">
              <w:rPr>
                <w:rFonts w:eastAsia="Times New Roman" w:cs="Times New Roman"/>
                <w:bCs/>
                <w:sz w:val="24"/>
                <w:szCs w:val="24"/>
                <w:lang w:eastAsia="be-BY"/>
              </w:rPr>
              <w:t>мГр</w:t>
            </w:r>
            <w:proofErr w:type="spellEnd"/>
            <w:r w:rsidRPr="00F9035E">
              <w:rPr>
                <w:rFonts w:eastAsia="Times New Roman" w:cs="Times New Roman"/>
                <w:bCs/>
                <w:sz w:val="24"/>
                <w:szCs w:val="24"/>
                <w:lang w:eastAsia="be-BY"/>
              </w:rPr>
              <w:t xml:space="preserve"> (либо не более </w:t>
            </w:r>
            <w:r w:rsidRPr="00F9035E">
              <w:rPr>
                <w:rFonts w:eastAsia="Times New Roman" w:cs="Times New Roman"/>
                <w:bCs/>
                <w:sz w:val="24"/>
                <w:szCs w:val="24"/>
                <w:lang w:eastAsia="be-BY"/>
              </w:rPr>
              <w:lastRenderedPageBreak/>
              <w:t>3,0мм@0,3% при дозовой нагрузке не выше 1</w:t>
            </w:r>
            <w:r w:rsidR="006C2C9D">
              <w:rPr>
                <w:rFonts w:eastAsia="Times New Roman" w:cs="Times New Roman"/>
                <w:bCs/>
                <w:sz w:val="24"/>
                <w:szCs w:val="24"/>
                <w:lang w:eastAsia="be-BY"/>
              </w:rPr>
              <w:t>5</w:t>
            </w:r>
            <w:r w:rsidRPr="00F9035E">
              <w:rPr>
                <w:rFonts w:eastAsia="Times New Roman" w:cs="Times New Roman"/>
                <w:bCs/>
                <w:sz w:val="24"/>
                <w:szCs w:val="24"/>
                <w:lang w:eastAsia="be-BY"/>
              </w:rPr>
              <w:t xml:space="preserve"> </w:t>
            </w:r>
            <w:proofErr w:type="spellStart"/>
            <w:r w:rsidRPr="00F9035E">
              <w:rPr>
                <w:rFonts w:eastAsia="Times New Roman" w:cs="Times New Roman"/>
                <w:bCs/>
                <w:sz w:val="24"/>
                <w:szCs w:val="24"/>
                <w:lang w:eastAsia="be-BY"/>
              </w:rPr>
              <w:t>мГр</w:t>
            </w:r>
            <w:proofErr w:type="spellEnd"/>
            <w:r w:rsidRPr="00F9035E">
              <w:rPr>
                <w:rFonts w:eastAsia="Times New Roman" w:cs="Times New Roman"/>
                <w:bCs/>
                <w:sz w:val="24"/>
                <w:szCs w:val="24"/>
                <w:lang w:eastAsia="be-BY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Высококонтрастное разрешение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20 пар </w:t>
            </w:r>
            <w:proofErr w:type="spellStart"/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лин</w:t>
            </w:r>
            <w:proofErr w:type="spellEnd"/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/см (при 0% MTF)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Изотропное минимальное расширение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боле 0,31 мм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2.7.5.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6C2C9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для снижения лучевой нагрузки за счет итерационной реконструкции на основе коррекции сырых данных и иных алгоритмов сканирования и реконструкции сырых данных</w:t>
            </w:r>
            <w:r w:rsidR="00ED24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50% в сравнении с алгоритмом 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FBP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C2C9D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6C2C9D" w:rsidRPr="00CC2D3B" w:rsidRDefault="006C2C9D" w:rsidP="006C2C9D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C2C9D" w:rsidRPr="006C2C9D" w:rsidRDefault="006C2C9D" w:rsidP="006C2C9D">
            <w:pPr>
              <w:rPr>
                <w:sz w:val="24"/>
                <w:szCs w:val="24"/>
              </w:rPr>
            </w:pPr>
            <w:r w:rsidRPr="006C2C9D">
              <w:rPr>
                <w:sz w:val="24"/>
                <w:szCs w:val="24"/>
              </w:rPr>
              <w:t xml:space="preserve">Технология снижения лучевой нагрузки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D" w:rsidRPr="006C2C9D" w:rsidRDefault="006C2C9D" w:rsidP="006C2C9D">
            <w:pPr>
              <w:rPr>
                <w:sz w:val="24"/>
                <w:szCs w:val="24"/>
              </w:rPr>
            </w:pPr>
            <w:r w:rsidRPr="006C2C9D">
              <w:rPr>
                <w:sz w:val="24"/>
                <w:szCs w:val="24"/>
              </w:rPr>
              <w:t xml:space="preserve">с использованием 3D-модуляции в реальном времени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D" w:rsidRPr="00CC2D3B" w:rsidRDefault="006C2C9D" w:rsidP="006C2C9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Компьютерная система для управления сканером (консоль оператора)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КТ-болюс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реконструкции изображений, синхронной с диагностическим сканированием, для контроля прохождения контрастного болюса в реальном времени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Радиологический стандарт 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DICOM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-3 (полный пакет, включая сетевой интерфейс, 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Worklist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2.8.4.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Программное обеспечение для подавления артефактов от металлических </w:t>
            </w: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имплантов</w:t>
            </w:r>
            <w:proofErr w:type="spellEnd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, инородных тел металлической плотности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с использованием простого и спектрального режима сканирования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2.8.5.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КТ-</w:t>
            </w: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флюороскопия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6C2C9D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C2C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Кардиологический пакет с </w:t>
            </w:r>
            <w:r w:rsidR="004002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ретроспективной и </w:t>
            </w:r>
            <w:proofErr w:type="spellStart"/>
            <w:r w:rsidR="004002F3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проспективной</w:t>
            </w:r>
            <w:proofErr w:type="spellEnd"/>
            <w:r w:rsidR="004002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кардиосинхронизацией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6C2C9D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C2C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Запись и хранение изображений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6313CF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На электронные носители (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DVD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USB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-накопители)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Медицинское программное обеспечение для диагностической  станции (серверное решение), выпущенное или сертифицированное для клинического использования фирмой-производителем компьютерного томографа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2.9.1.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Радиологический стандарт 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DICOM-3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Полный пакет, включая сетевой интерфейс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2.9.2.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Базовое программное обеспечение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и архивирование базы пациентов, 2-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-просмотр, линейные и денситометрические измерения; загрузка, синхронизация и сопоставление не менее 4 исследований пациента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2.9.3.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Трехмерная реконструкция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MPR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MIP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MinIP</w:t>
            </w:r>
            <w:proofErr w:type="spellEnd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, криволинейные реконструкции, объемное цветовое картирование по плотностям (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VR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SSD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2.9.4.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Программное обеспечение для </w:t>
            </w:r>
            <w:r w:rsidR="007C41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автоматического 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 объема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2.9.5.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для автоматического выявления, измерения и оценки в динамике (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RECIST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) лимфоузлов, образований в легких, печени, других органах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2.9.6.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для автоматического распознавания и удаления костной ткани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2.9.7.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КТ-эндоскопия, включая КТ-</w:t>
            </w: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колонографию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2.9.8.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КТ-ангиография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автоматизированная </w:t>
            </w: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субтракция</w:t>
            </w:r>
            <w:proofErr w:type="spellEnd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сосудов с трехмерной реконструкцией и количественным анализом</w:t>
            </w:r>
            <w:r w:rsidR="007C41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возможностью планирования установки </w:t>
            </w:r>
            <w:proofErr w:type="spellStart"/>
            <w:r w:rsidR="007C41E5">
              <w:rPr>
                <w:rFonts w:eastAsia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43772A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2.9.9.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43772A" w:rsidRDefault="00CC2D3B" w:rsidP="007C41E5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772A">
              <w:rPr>
                <w:rFonts w:eastAsia="Times New Roman" w:cs="Times New Roman"/>
                <w:sz w:val="24"/>
                <w:szCs w:val="24"/>
                <w:lang w:eastAsia="ru-RU"/>
              </w:rPr>
              <w:t>КТ-перфузия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43772A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772A">
              <w:rPr>
                <w:rFonts w:eastAsia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43772A" w:rsidRDefault="007C41E5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7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2.9.10.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Программное обеспечение для просмотра и анализа данных спектрального сканирования с использованием специализированных алгоритмов дифференцировки йода, воды, гидроксиапатита, кальция и других материалов при простых исследованиях и исследованиях с </w:t>
            </w: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13236D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2.9.11.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для дифференциации жировой ткани в печени и новообразованиях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2.9.12.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Программное обеспечение для </w:t>
            </w: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мультимодального</w:t>
            </w:r>
            <w:proofErr w:type="spellEnd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просмотра, совмещения и количественной оценки 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DICOM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-изображений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РКТ, МРТ, ПЭТ (в </w:t>
            </w: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2D3B">
              <w:rPr>
                <w:rFonts w:eastAsia="Times New Roman" w:cs="Times New Roman"/>
                <w:sz w:val="24"/>
                <w:szCs w:val="24"/>
                <w:lang w:val="en-US" w:eastAsia="ru-RU"/>
              </w:rPr>
              <w:t>SUV</w:t>
            </w: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), ОФЭКТ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2.9.13.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Кардиологический пакет с автоматической сегментацией коронарных артерий, автоматическим анализом выраженности их стеноза, с ретроспективной и </w:t>
            </w: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проспективной</w:t>
            </w:r>
            <w:proofErr w:type="spellEnd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синхронизацией.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2.9.14.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для оценки анатомии и функциональных показателей сердца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2.9.15.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7654A7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Программный пакет для планирования имплантации аортального клапана</w:t>
            </w:r>
            <w:r w:rsidR="007654A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(TAVI)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2.9.16.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Программный пакет анализа объемов фракций выброса камер сердца, а также определения массы миокарда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2.9.17.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для количественной и качественной оценки атеросклеротических бляшек в коронарных сосудах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2.9.18.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Специализированное приложение для анализа исследований КТ-перфузии головного мозга и паренхиматозных органов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2.9.19.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для сегментации печени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2.9.20.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Программное обеспечение для оценки объема гематомы головного мозга и анализа аневризм сосудов </w:t>
            </w:r>
            <w:proofErr w:type="spellStart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Вилизиева</w:t>
            </w:r>
            <w:proofErr w:type="spellEnd"/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круга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2.9.21.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для автоматического поиска, анализа и сравнения узловых образований в легких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2.9.22.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Программный пакет для оценки изменений в динамике размера новообразований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2.9.23.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для получения и оценки динамических КТ-изображений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D3B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2.9.24.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Программный пакет для автоматического маркирования ребер, позвонков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D3B"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CC2D3B" w:rsidRDefault="00CC2D3B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1E5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7C41E5" w:rsidRPr="00CC2D3B" w:rsidRDefault="007C41E5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2.9.25.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C41E5" w:rsidRPr="007C41E5" w:rsidRDefault="007C41E5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Программное обеспечение для анализа паренхимы головного мозга и автоматической оценки по шкале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ASPECTS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C41E5" w:rsidRPr="007C41E5" w:rsidRDefault="007C41E5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лицензии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E5" w:rsidRPr="00CC2D3B" w:rsidRDefault="007C41E5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F62" w:rsidRPr="00CC2D3B" w:rsidTr="00CC2D3B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97F62" w:rsidRDefault="00497F62" w:rsidP="00CC2D3B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2.9.26.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497F62" w:rsidRDefault="00497F62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Программное обеспечения для </w:t>
            </w:r>
            <w:r w:rsidR="00702C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автоматической сегментации печени по данным исследований с в/в </w:t>
            </w:r>
            <w:proofErr w:type="spellStart"/>
            <w:r w:rsidR="00702C5B">
              <w:rPr>
                <w:rFonts w:eastAsia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="00702C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97F62" w:rsidRPr="00702C5B" w:rsidRDefault="00702C5B" w:rsidP="00CC2D3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 лицензии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62" w:rsidRPr="00CC2D3B" w:rsidRDefault="00497F62" w:rsidP="00CC2D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35E" w:rsidRDefault="00F9035E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9035E" w:rsidRDefault="00F9035E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9035E" w:rsidRDefault="00F9035E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3236D" w:rsidRDefault="0013236D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3236D" w:rsidRDefault="0013236D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3236D" w:rsidRPr="0013236D" w:rsidRDefault="0013236D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3236D">
        <w:rPr>
          <w:rFonts w:eastAsia="Times New Roman" w:cs="Times New Roman"/>
          <w:b/>
          <w:sz w:val="24"/>
          <w:szCs w:val="24"/>
          <w:lang w:eastAsia="ru-RU"/>
        </w:rPr>
        <w:t>Обоснование пунктов, обозначенных «*»:</w:t>
      </w:r>
    </w:p>
    <w:p w:rsidR="00CC2D3B" w:rsidRPr="00CC2D3B" w:rsidRDefault="00CC2D3B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2D3B">
        <w:rPr>
          <w:rFonts w:eastAsia="Times New Roman" w:cs="Times New Roman"/>
          <w:sz w:val="24"/>
          <w:szCs w:val="24"/>
          <w:lang w:eastAsia="ru-RU"/>
        </w:rPr>
        <w:t xml:space="preserve">*2.1.3 Широкий диапазон силы тока позволяет применять большое количество различных настроек визуализации, что особенно важно для снижения лучевой нагрузки, а также в </w:t>
      </w:r>
      <w:proofErr w:type="spellStart"/>
      <w:r w:rsidRPr="00CC2D3B">
        <w:rPr>
          <w:rFonts w:eastAsia="Times New Roman" w:cs="Times New Roman"/>
          <w:sz w:val="24"/>
          <w:szCs w:val="24"/>
          <w:lang w:eastAsia="ru-RU"/>
        </w:rPr>
        <w:t>кардиовизуализации</w:t>
      </w:r>
      <w:proofErr w:type="spellEnd"/>
      <w:r w:rsidRPr="00CC2D3B">
        <w:rPr>
          <w:rFonts w:eastAsia="Times New Roman" w:cs="Times New Roman"/>
          <w:sz w:val="24"/>
          <w:szCs w:val="24"/>
          <w:lang w:eastAsia="ru-RU"/>
        </w:rPr>
        <w:t>.</w:t>
      </w:r>
    </w:p>
    <w:p w:rsidR="00CC2D3B" w:rsidRPr="00CC2D3B" w:rsidRDefault="00CC2D3B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2D3B">
        <w:rPr>
          <w:rFonts w:eastAsia="Times New Roman" w:cs="Times New Roman"/>
          <w:sz w:val="24"/>
          <w:szCs w:val="24"/>
          <w:lang w:eastAsia="ru-RU"/>
        </w:rPr>
        <w:t>*2.2.3 Гарантия на рентгеновскую трубку - не менее 24 месяцев без ограничения количества срезов. Ресурс рентгеновской трубки в зависимости от компании- производителя может быть ограничен количеством проведенных сканов (скан-секунд). При этом интенсивность использования рентгеновской трубки может варьировать в зависимости от используемых методов сканирования и приложений, что может ограничить срок эксплуатации излучателя. Обеспечение гарантийных обязательств на рентгеновскую трубку на протяжении не менее 24 месяцев с момента введения системы принципиально для сохранения работоспособности системы.</w:t>
      </w:r>
    </w:p>
    <w:p w:rsidR="00CC2D3B" w:rsidRDefault="00CC2D3B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2D3B">
        <w:rPr>
          <w:rFonts w:eastAsia="Times New Roman" w:cs="Times New Roman"/>
          <w:sz w:val="24"/>
          <w:szCs w:val="24"/>
          <w:lang w:eastAsia="ru-RU"/>
        </w:rPr>
        <w:t xml:space="preserve">*2.3.1, 2.6.1 Количество рядов детекторов и максимальное число одновременно выполняемых срезов за один оборот. Использование сканеров с данным количеством рядов детектора и максимальным числом одновременно выполняемых срезов за один оборот позволяет получить дополнительный спектр современных возможностей в ургентной-, </w:t>
      </w:r>
      <w:proofErr w:type="spellStart"/>
      <w:r w:rsidRPr="00CC2D3B">
        <w:rPr>
          <w:rFonts w:eastAsia="Times New Roman" w:cs="Times New Roman"/>
          <w:sz w:val="24"/>
          <w:szCs w:val="24"/>
          <w:lang w:eastAsia="ru-RU"/>
        </w:rPr>
        <w:t>кардио</w:t>
      </w:r>
      <w:proofErr w:type="spellEnd"/>
      <w:r w:rsidRPr="00CC2D3B">
        <w:rPr>
          <w:rFonts w:eastAsia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CC2D3B">
        <w:rPr>
          <w:rFonts w:eastAsia="Times New Roman" w:cs="Times New Roman"/>
          <w:sz w:val="24"/>
          <w:szCs w:val="24"/>
          <w:lang w:eastAsia="ru-RU"/>
        </w:rPr>
        <w:t>онко</w:t>
      </w:r>
      <w:proofErr w:type="spellEnd"/>
      <w:r w:rsidRPr="00CC2D3B">
        <w:rPr>
          <w:rFonts w:eastAsia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CC2D3B">
        <w:rPr>
          <w:rFonts w:eastAsia="Times New Roman" w:cs="Times New Roman"/>
          <w:sz w:val="24"/>
          <w:szCs w:val="24"/>
          <w:lang w:eastAsia="ru-RU"/>
        </w:rPr>
        <w:t>нейровизуализации</w:t>
      </w:r>
      <w:proofErr w:type="spellEnd"/>
      <w:r w:rsidRPr="00CC2D3B">
        <w:rPr>
          <w:rFonts w:eastAsia="Times New Roman" w:cs="Times New Roman"/>
          <w:sz w:val="24"/>
          <w:szCs w:val="24"/>
          <w:lang w:eastAsia="ru-RU"/>
        </w:rPr>
        <w:t xml:space="preserve"> в сравнении с базовыми сканерами, повысить качество получаемых данных и пропускную способность системы в целом.</w:t>
      </w:r>
    </w:p>
    <w:p w:rsidR="0013236D" w:rsidRDefault="0013236D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*2.3.2 </w:t>
      </w:r>
      <w:r w:rsidR="00462FD0">
        <w:rPr>
          <w:rFonts w:eastAsia="Times New Roman" w:cs="Times New Roman"/>
          <w:sz w:val="24"/>
          <w:szCs w:val="24"/>
          <w:lang w:eastAsia="ru-RU"/>
        </w:rPr>
        <w:t>Большое количество элементов детектора позволяет получить изображение более высокого качества при меньшей лучевой нагрузке.</w:t>
      </w:r>
    </w:p>
    <w:p w:rsidR="00ED2490" w:rsidRDefault="0043772A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*2.4.1. Более широкая апертура позволяет обследовать пациентов с большим весом, а также пациентов, находящихся в вынужденном положении</w:t>
      </w:r>
      <w:r w:rsidR="003B4881">
        <w:rPr>
          <w:rFonts w:eastAsia="Times New Roman" w:cs="Times New Roman"/>
          <w:sz w:val="24"/>
          <w:szCs w:val="24"/>
          <w:lang w:eastAsia="ru-RU"/>
        </w:rPr>
        <w:t xml:space="preserve"> во время выполнения исследования</w:t>
      </w:r>
      <w:r>
        <w:rPr>
          <w:rFonts w:eastAsia="Times New Roman" w:cs="Times New Roman"/>
          <w:sz w:val="24"/>
          <w:szCs w:val="24"/>
          <w:lang w:eastAsia="ru-RU"/>
        </w:rPr>
        <w:t xml:space="preserve"> (например - в гипсовых лангетах).</w:t>
      </w:r>
    </w:p>
    <w:p w:rsidR="003B4881" w:rsidRDefault="00D146B3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*2.6.2</w:t>
      </w:r>
      <w:r w:rsidR="003B4881">
        <w:rPr>
          <w:rFonts w:eastAsia="Times New Roman" w:cs="Times New Roman"/>
          <w:sz w:val="24"/>
          <w:szCs w:val="24"/>
          <w:lang w:eastAsia="ru-RU"/>
        </w:rPr>
        <w:t xml:space="preserve"> Высокая скорость вращения рентгеновской трубки важна для кардиологических исследований.</w:t>
      </w:r>
    </w:p>
    <w:p w:rsidR="003B4881" w:rsidRDefault="007654A7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*</w:t>
      </w:r>
      <w:r w:rsidR="00D146B3">
        <w:rPr>
          <w:rFonts w:eastAsia="Times New Roman" w:cs="Times New Roman"/>
          <w:sz w:val="24"/>
          <w:szCs w:val="24"/>
          <w:lang w:eastAsia="ru-RU"/>
        </w:rPr>
        <w:t>2.6.6</w:t>
      </w:r>
      <w:r w:rsidR="003B48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B4881" w:rsidRPr="003B4881">
        <w:rPr>
          <w:rFonts w:eastAsia="Times New Roman" w:cs="Times New Roman"/>
          <w:sz w:val="24"/>
          <w:szCs w:val="24"/>
          <w:lang w:eastAsia="ru-RU"/>
        </w:rPr>
        <w:t xml:space="preserve">Анализ поглощения двух спектров позволяет получить дополнительную информацию о химическом составе тканей, появляется возможность получить наборы изображений, взвешенных по воде и йоду, а также синтезировать из них (для каждого </w:t>
      </w:r>
      <w:proofErr w:type="spellStart"/>
      <w:r w:rsidR="003B4881" w:rsidRPr="003B4881">
        <w:rPr>
          <w:rFonts w:eastAsia="Times New Roman" w:cs="Times New Roman"/>
          <w:sz w:val="24"/>
          <w:szCs w:val="24"/>
          <w:lang w:eastAsia="ru-RU"/>
        </w:rPr>
        <w:t>томографического</w:t>
      </w:r>
      <w:proofErr w:type="spellEnd"/>
      <w:r w:rsidR="003B4881" w:rsidRPr="003B4881">
        <w:rPr>
          <w:rFonts w:eastAsia="Times New Roman" w:cs="Times New Roman"/>
          <w:sz w:val="24"/>
          <w:szCs w:val="24"/>
          <w:lang w:eastAsia="ru-RU"/>
        </w:rPr>
        <w:t xml:space="preserve"> среза) виртуальные монохроматические изображения для уровней энергии от 40 до 140 кэВ. Клиническо</w:t>
      </w:r>
      <w:r w:rsidR="003B4881">
        <w:rPr>
          <w:rFonts w:eastAsia="Times New Roman" w:cs="Times New Roman"/>
          <w:sz w:val="24"/>
          <w:szCs w:val="24"/>
          <w:lang w:eastAsia="ru-RU"/>
        </w:rPr>
        <w:t>е</w:t>
      </w:r>
      <w:r w:rsidR="003B4881" w:rsidRPr="003B4881">
        <w:rPr>
          <w:rFonts w:eastAsia="Times New Roman" w:cs="Times New Roman"/>
          <w:sz w:val="24"/>
          <w:szCs w:val="24"/>
          <w:lang w:eastAsia="ru-RU"/>
        </w:rPr>
        <w:t xml:space="preserve"> значение виртуальных монохроматических изображений состоит в том, что серии с низкими значениями кэВ отличаются высокой контрастностью, это улучшает выявление образований малого диаметра (меньше 5 мм), слабо отличающихся по контрастности от паренхимы печени при стандартных компьютерных </w:t>
      </w:r>
      <w:proofErr w:type="spellStart"/>
      <w:r w:rsidR="003B4881" w:rsidRPr="003B4881">
        <w:rPr>
          <w:rFonts w:eastAsia="Times New Roman" w:cs="Times New Roman"/>
          <w:sz w:val="24"/>
          <w:szCs w:val="24"/>
          <w:lang w:eastAsia="ru-RU"/>
        </w:rPr>
        <w:t>томограммах</w:t>
      </w:r>
      <w:proofErr w:type="spellEnd"/>
      <w:r w:rsidR="003B4881" w:rsidRPr="003B4881">
        <w:rPr>
          <w:rFonts w:eastAsia="Times New Roman" w:cs="Times New Roman"/>
          <w:sz w:val="24"/>
          <w:szCs w:val="24"/>
          <w:lang w:eastAsia="ru-RU"/>
        </w:rPr>
        <w:t>. Разница коэффициентов поглощения рентгеновского излучения (плотности) при различных значениях энергии позволяет создавать виртуальную спектральную кривую, с помощью которой можно анализировать химический состав образования. Возможность количественного определения содержания йода в ткани значительно повышает точность оценки накопления контрастного вещества, а построение виртуальных йодных карт позволяет быстро, используя цветовую шкалу, оценивать распределение йода в срезе, что ускоряет диагностику</w:t>
      </w:r>
      <w:r w:rsidR="003B4881">
        <w:rPr>
          <w:rFonts w:eastAsia="Times New Roman" w:cs="Times New Roman"/>
          <w:sz w:val="24"/>
          <w:szCs w:val="24"/>
          <w:lang w:eastAsia="ru-RU"/>
        </w:rPr>
        <w:t xml:space="preserve"> и значительно расширяет ее возможности</w:t>
      </w:r>
      <w:r w:rsidR="003B4881" w:rsidRPr="003B4881">
        <w:rPr>
          <w:rFonts w:eastAsia="Times New Roman" w:cs="Times New Roman"/>
          <w:sz w:val="24"/>
          <w:szCs w:val="24"/>
          <w:lang w:eastAsia="ru-RU"/>
        </w:rPr>
        <w:t>.</w:t>
      </w:r>
    </w:p>
    <w:p w:rsidR="007654A7" w:rsidRPr="00CC2D3B" w:rsidRDefault="007654A7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*2.6.7, 2.6.8 – данные режимы сканирования увеличивают поле сканирования до 80 мм (при аксиальном челночном сканировании), до </w:t>
      </w:r>
      <w:r w:rsidR="00497F62">
        <w:rPr>
          <w:rFonts w:eastAsia="Times New Roman" w:cs="Times New Roman"/>
          <w:sz w:val="24"/>
          <w:szCs w:val="24"/>
          <w:lang w:eastAsia="ru-RU"/>
        </w:rPr>
        <w:t xml:space="preserve">300 мм (при спиральном челночном сканировании) для выполнения динамических </w:t>
      </w:r>
      <w:proofErr w:type="spellStart"/>
      <w:r w:rsidR="00497F62">
        <w:rPr>
          <w:rFonts w:eastAsia="Times New Roman" w:cs="Times New Roman"/>
          <w:sz w:val="24"/>
          <w:szCs w:val="24"/>
          <w:lang w:eastAsia="ru-RU"/>
        </w:rPr>
        <w:t>перфузионных</w:t>
      </w:r>
      <w:proofErr w:type="spellEnd"/>
      <w:r w:rsidR="00497F62">
        <w:rPr>
          <w:rFonts w:eastAsia="Times New Roman" w:cs="Times New Roman"/>
          <w:sz w:val="24"/>
          <w:szCs w:val="24"/>
          <w:lang w:eastAsia="ru-RU"/>
        </w:rPr>
        <w:t xml:space="preserve"> исследований головного мозга, органов грудной клетки, брюшной полости, забрюшинного пространства, что позволяет за одно исследование охватить больший объем ткани.</w:t>
      </w:r>
    </w:p>
    <w:p w:rsidR="00CC2D3B" w:rsidRDefault="003B4881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*2.7.5</w:t>
      </w:r>
      <w:r w:rsidR="00CC2D3B" w:rsidRPr="00CC2D3B">
        <w:rPr>
          <w:rFonts w:eastAsia="Times New Roman" w:cs="Times New Roman"/>
          <w:sz w:val="24"/>
          <w:szCs w:val="24"/>
          <w:lang w:eastAsia="ru-RU"/>
        </w:rPr>
        <w:t xml:space="preserve"> Итерационная реконструкция позволяет значительно улучшить соотношение сигнал-шум и снизить лучевую нагрузку на пациента в зависимости от используемого алгоритма обработки на 50% по сравнению с обычными томографами. В изображениях, прошедших итерационную обработку, уровень шумов гораздо ниже, чем при стандартном исследовании </w:t>
      </w:r>
      <w:proofErr w:type="gramStart"/>
      <w:r w:rsidR="00CC2D3B" w:rsidRPr="00CC2D3B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="00CC2D3B" w:rsidRPr="00CC2D3B">
        <w:rPr>
          <w:rFonts w:eastAsia="Times New Roman" w:cs="Times New Roman"/>
          <w:sz w:val="24"/>
          <w:szCs w:val="24"/>
          <w:lang w:eastAsia="ru-RU"/>
        </w:rPr>
        <w:t xml:space="preserve"> тем же анодным током и той же лучевой нагрузкой. Использование итерационных алгоритмов получения изображений гарантирует их высокое качество при минимальной лучевой нагрузке для любого пациента.</w:t>
      </w:r>
    </w:p>
    <w:p w:rsidR="00CC2D3B" w:rsidRDefault="00CC2D3B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2D3B">
        <w:rPr>
          <w:rFonts w:eastAsia="Times New Roman" w:cs="Times New Roman"/>
          <w:sz w:val="24"/>
          <w:szCs w:val="24"/>
          <w:lang w:eastAsia="ru-RU"/>
        </w:rPr>
        <w:t xml:space="preserve">*2.9.9 КТ-перфузия – основной метод оценки объема кровотока в определенном органе или ткани (головном мозге, поджелудочной железе, печени), позволяет проводить оценку состояния гемодинамики на капиллярном уровне. В частности, КТ-перфузия значительно облегчает диагностику ишемического инсульта головного мозга в острейшем периоде, когда патологические изменения носят обратимый характер, в ряде случаев позволяет дифференцировать новообразования поджелудочной железы, печени на ранних этапах развития. Сущность метода заключается в количественном измерении кровотока путем оценки изменения рентгеновской плотности ткани во время </w:t>
      </w:r>
      <w:proofErr w:type="gramStart"/>
      <w:r w:rsidRPr="00CC2D3B">
        <w:rPr>
          <w:rFonts w:eastAsia="Times New Roman" w:cs="Times New Roman"/>
          <w:sz w:val="24"/>
          <w:szCs w:val="24"/>
          <w:lang w:eastAsia="ru-RU"/>
        </w:rPr>
        <w:t>прохождения</w:t>
      </w:r>
      <w:proofErr w:type="gramEnd"/>
      <w:r w:rsidRPr="00CC2D3B">
        <w:rPr>
          <w:rFonts w:eastAsia="Times New Roman" w:cs="Times New Roman"/>
          <w:sz w:val="24"/>
          <w:szCs w:val="24"/>
          <w:lang w:eastAsia="ru-RU"/>
        </w:rPr>
        <w:t xml:space="preserve"> внутривенно введенного рентгеноконтрастного вещества.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52991" w:rsidRPr="00CC2D3B" w:rsidRDefault="00F52991" w:rsidP="00CC2D3B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*2.9.10 </w:t>
      </w:r>
      <w:r w:rsidR="00462FD0" w:rsidRPr="00462FD0">
        <w:rPr>
          <w:rFonts w:eastAsia="Times New Roman" w:cs="Times New Roman"/>
          <w:sz w:val="24"/>
          <w:szCs w:val="24"/>
          <w:lang w:eastAsia="ru-RU"/>
        </w:rPr>
        <w:t xml:space="preserve">Программное обеспечение для просмотра и анализа данных спектрального сканирования с использованием специализированных алгоритмов дифференцировки йода, воды, гидроксиапатита, кальция и других материалов при простых исследованиях и исследованиях с </w:t>
      </w:r>
      <w:proofErr w:type="spellStart"/>
      <w:r w:rsidR="00462FD0" w:rsidRPr="00462FD0">
        <w:rPr>
          <w:rFonts w:eastAsia="Times New Roman" w:cs="Times New Roman"/>
          <w:sz w:val="24"/>
          <w:szCs w:val="24"/>
          <w:lang w:eastAsia="ru-RU"/>
        </w:rPr>
        <w:t>болюсным</w:t>
      </w:r>
      <w:proofErr w:type="spellEnd"/>
      <w:r w:rsidR="00462FD0" w:rsidRPr="00462FD0">
        <w:rPr>
          <w:rFonts w:eastAsia="Times New Roman" w:cs="Times New Roman"/>
          <w:sz w:val="24"/>
          <w:szCs w:val="24"/>
          <w:lang w:eastAsia="ru-RU"/>
        </w:rPr>
        <w:t xml:space="preserve"> контрастированием</w:t>
      </w:r>
      <w:r w:rsidR="00462FD0">
        <w:rPr>
          <w:rFonts w:eastAsia="Times New Roman" w:cs="Times New Roman"/>
          <w:sz w:val="24"/>
          <w:szCs w:val="24"/>
          <w:lang w:eastAsia="ru-RU"/>
        </w:rPr>
        <w:t xml:space="preserve"> позволяет значительно расширить возможности оборудования, решать большой спектр дифференциально-диагностических задач</w:t>
      </w:r>
    </w:p>
    <w:p w:rsidR="00CC2D3B" w:rsidRDefault="00CC2D3B" w:rsidP="00572F14">
      <w:pPr>
        <w:tabs>
          <w:tab w:val="num" w:pos="1101"/>
          <w:tab w:val="left" w:pos="5495"/>
          <w:tab w:val="left" w:pos="8613"/>
          <w:tab w:val="left" w:pos="9464"/>
        </w:tabs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72F14" w:rsidRPr="00982B3B" w:rsidRDefault="00572F14" w:rsidP="00572F1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pacing w:val="-6"/>
          <w:sz w:val="24"/>
          <w:szCs w:val="24"/>
          <w:lang w:eastAsia="ru-RU"/>
        </w:rPr>
      </w:pPr>
      <w:r w:rsidRPr="00982B3B">
        <w:rPr>
          <w:rFonts w:eastAsia="Times New Roman" w:cs="Times New Roman"/>
          <w:b/>
          <w:bCs/>
          <w:spacing w:val="-6"/>
          <w:sz w:val="24"/>
          <w:szCs w:val="24"/>
          <w:lang w:eastAsia="ru-RU"/>
        </w:rPr>
        <w:t xml:space="preserve">3.Требования,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</w:t>
      </w:r>
      <w:r w:rsidRPr="00982B3B">
        <w:rPr>
          <w:rFonts w:eastAsia="Times New Roman" w:cs="Times New Roman"/>
          <w:b/>
          <w:bCs/>
          <w:spacing w:val="-6"/>
          <w:sz w:val="24"/>
          <w:szCs w:val="24"/>
          <w:lang w:eastAsia="ru-RU"/>
        </w:rPr>
        <w:lastRenderedPageBreak/>
        <w:t>эксплуатацию товара:</w:t>
      </w:r>
    </w:p>
    <w:p w:rsidR="00572F14" w:rsidRPr="00982B3B" w:rsidRDefault="00572F14" w:rsidP="00572F1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pacing w:val="-6"/>
          <w:sz w:val="24"/>
          <w:szCs w:val="24"/>
          <w:lang w:eastAsia="ru-RU"/>
        </w:rPr>
      </w:pPr>
      <w:r w:rsidRPr="00982B3B">
        <w:rPr>
          <w:rFonts w:eastAsia="Times New Roman" w:cs="Times New Roman"/>
          <w:bCs/>
          <w:spacing w:val="-6"/>
          <w:sz w:val="24"/>
          <w:szCs w:val="24"/>
          <w:lang w:eastAsia="ru-RU"/>
        </w:rPr>
        <w:t>3.1. Гарантийное сервисное обслуживание всего комплекта оборудования не менее 24 месяцев с момента инсталляции.</w:t>
      </w:r>
    </w:p>
    <w:p w:rsidR="00572F14" w:rsidRPr="00982B3B" w:rsidRDefault="00572F14" w:rsidP="00572F1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pacing w:val="-6"/>
          <w:sz w:val="24"/>
          <w:szCs w:val="24"/>
          <w:lang w:eastAsia="ru-RU"/>
        </w:rPr>
      </w:pPr>
      <w:r w:rsidRPr="00982B3B">
        <w:rPr>
          <w:rFonts w:eastAsia="Times New Roman" w:cs="Times New Roman"/>
          <w:bCs/>
          <w:spacing w:val="-6"/>
          <w:sz w:val="24"/>
          <w:szCs w:val="24"/>
          <w:lang w:eastAsia="ru-RU"/>
        </w:rPr>
        <w:t>3.2. Бесплатная модификация поставляемой медицинской техники (компьютерной системы и программного обеспечения) в течение всего срока эксплуатации, рекомендуемая производителем и связанная с улучшением качества и безопасности оборудования.</w:t>
      </w:r>
    </w:p>
    <w:p w:rsidR="00572F14" w:rsidRPr="00982B3B" w:rsidRDefault="00572F14" w:rsidP="00572F1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pacing w:val="-6"/>
          <w:sz w:val="24"/>
          <w:szCs w:val="24"/>
          <w:lang w:eastAsia="ru-RU"/>
        </w:rPr>
      </w:pPr>
      <w:r w:rsidRPr="00982B3B">
        <w:rPr>
          <w:rFonts w:eastAsia="Times New Roman" w:cs="Times New Roman"/>
          <w:bCs/>
          <w:spacing w:val="-6"/>
          <w:sz w:val="24"/>
          <w:szCs w:val="24"/>
          <w:lang w:eastAsia="ru-RU"/>
        </w:rPr>
        <w:t>3.3. В стоимость предложения должны быть включены монтаж и наладка оборудования.</w:t>
      </w:r>
    </w:p>
    <w:p w:rsidR="00572F14" w:rsidRPr="00982B3B" w:rsidRDefault="00572F14" w:rsidP="00572F1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pacing w:val="-6"/>
          <w:sz w:val="24"/>
          <w:szCs w:val="24"/>
          <w:lang w:eastAsia="ru-RU"/>
        </w:rPr>
      </w:pPr>
    </w:p>
    <w:p w:rsidR="00572F14" w:rsidRPr="00982B3B" w:rsidRDefault="00572F14" w:rsidP="00572F1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pacing w:val="-6"/>
          <w:sz w:val="24"/>
          <w:szCs w:val="24"/>
          <w:lang w:eastAsia="ru-RU"/>
        </w:rPr>
      </w:pPr>
      <w:r w:rsidRPr="00982B3B">
        <w:rPr>
          <w:rFonts w:eastAsia="Times New Roman" w:cs="Times New Roman"/>
          <w:b/>
          <w:bCs/>
          <w:spacing w:val="-6"/>
          <w:sz w:val="24"/>
          <w:szCs w:val="24"/>
          <w:lang w:eastAsia="ru-RU"/>
        </w:rPr>
        <w:t>4.Требования, предъявляемые к сервисному обслуживанию</w:t>
      </w:r>
    </w:p>
    <w:p w:rsidR="00572F14" w:rsidRPr="00982B3B" w:rsidRDefault="00572F14" w:rsidP="00572F1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pacing w:val="-6"/>
          <w:sz w:val="24"/>
          <w:szCs w:val="24"/>
          <w:lang w:eastAsia="ru-RU"/>
        </w:rPr>
      </w:pPr>
      <w:r w:rsidRPr="00982B3B">
        <w:rPr>
          <w:rFonts w:eastAsia="Times New Roman" w:cs="Times New Roman"/>
          <w:bCs/>
          <w:spacing w:val="-6"/>
          <w:sz w:val="24"/>
          <w:szCs w:val="24"/>
          <w:lang w:eastAsia="ru-RU"/>
        </w:rPr>
        <w:t>4.1. Участники должны представить:</w:t>
      </w:r>
    </w:p>
    <w:p w:rsidR="00572F14" w:rsidRPr="00982B3B" w:rsidRDefault="00572F14" w:rsidP="00572F1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pacing w:val="-6"/>
          <w:sz w:val="24"/>
          <w:szCs w:val="24"/>
          <w:lang w:eastAsia="ru-RU"/>
        </w:rPr>
      </w:pPr>
      <w:r w:rsidRPr="00982B3B">
        <w:rPr>
          <w:rFonts w:eastAsia="Times New Roman" w:cs="Times New Roman"/>
          <w:bCs/>
          <w:spacing w:val="-6"/>
          <w:sz w:val="24"/>
          <w:szCs w:val="24"/>
          <w:lang w:eastAsia="ru-RU"/>
        </w:rPr>
        <w:t>4.1.1. документальные материалы фирмы-производителя на английском (</w:t>
      </w:r>
      <w:proofErr w:type="spellStart"/>
      <w:r w:rsidRPr="00982B3B">
        <w:rPr>
          <w:rFonts w:eastAsia="Times New Roman" w:cs="Times New Roman"/>
          <w:bCs/>
          <w:spacing w:val="-6"/>
          <w:sz w:val="24"/>
          <w:szCs w:val="24"/>
          <w:lang w:eastAsia="ru-RU"/>
        </w:rPr>
        <w:t>product</w:t>
      </w:r>
      <w:proofErr w:type="spellEnd"/>
      <w:r w:rsidRPr="00982B3B">
        <w:rPr>
          <w:rFonts w:eastAsia="Times New Roman" w:cs="Times New Roman"/>
          <w:bCs/>
          <w:spacing w:val="-6"/>
          <w:sz w:val="24"/>
          <w:szCs w:val="24"/>
          <w:lang w:eastAsia="ru-RU"/>
        </w:rPr>
        <w:t xml:space="preserve"> </w:t>
      </w:r>
      <w:proofErr w:type="spellStart"/>
      <w:r w:rsidRPr="00982B3B">
        <w:rPr>
          <w:rFonts w:eastAsia="Times New Roman" w:cs="Times New Roman"/>
          <w:bCs/>
          <w:spacing w:val="-6"/>
          <w:sz w:val="24"/>
          <w:szCs w:val="24"/>
          <w:lang w:eastAsia="ru-RU"/>
        </w:rPr>
        <w:t>date</w:t>
      </w:r>
      <w:proofErr w:type="spellEnd"/>
      <w:r w:rsidRPr="00982B3B">
        <w:rPr>
          <w:rFonts w:eastAsia="Times New Roman" w:cs="Times New Roman"/>
          <w:bCs/>
          <w:spacing w:val="-6"/>
          <w:sz w:val="24"/>
          <w:szCs w:val="24"/>
          <w:lang w:eastAsia="ru-RU"/>
        </w:rPr>
        <w:t>) или русском языке для подтверждения технических и функциональных параметров всего комплекта оборудования.</w:t>
      </w:r>
    </w:p>
    <w:p w:rsidR="00CC2D3B" w:rsidRPr="00CC2D3B" w:rsidRDefault="00CC2D3B" w:rsidP="00CC2D3B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be-BY"/>
        </w:rPr>
      </w:pPr>
    </w:p>
    <w:p w:rsidR="00632434" w:rsidRPr="003220E5" w:rsidRDefault="0059175F" w:rsidP="00CC2D3B">
      <w:pPr>
        <w:spacing w:line="276" w:lineRule="auto"/>
        <w:jc w:val="righ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59175F">
        <w:rPr>
          <w:rFonts w:eastAsia="Times New Roman" w:cs="Times New Roman"/>
          <w:sz w:val="24"/>
          <w:szCs w:val="24"/>
          <w:lang w:eastAsia="be-BY"/>
        </w:rPr>
        <w:t xml:space="preserve">                                             </w:t>
      </w:r>
    </w:p>
    <w:sectPr w:rsidR="00632434" w:rsidRPr="0032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C3B04"/>
    <w:multiLevelType w:val="hybridMultilevel"/>
    <w:tmpl w:val="E06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65628"/>
    <w:multiLevelType w:val="hybridMultilevel"/>
    <w:tmpl w:val="28CCA1D6"/>
    <w:lvl w:ilvl="0" w:tplc="5A84C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8F"/>
    <w:rsid w:val="00001C6B"/>
    <w:rsid w:val="0000218B"/>
    <w:rsid w:val="00017FBB"/>
    <w:rsid w:val="0010181E"/>
    <w:rsid w:val="0013236D"/>
    <w:rsid w:val="00134E4E"/>
    <w:rsid w:val="001D632F"/>
    <w:rsid w:val="0024167C"/>
    <w:rsid w:val="002775E1"/>
    <w:rsid w:val="002A5393"/>
    <w:rsid w:val="002D0FFB"/>
    <w:rsid w:val="003220E5"/>
    <w:rsid w:val="003409F3"/>
    <w:rsid w:val="00347B8F"/>
    <w:rsid w:val="003604E3"/>
    <w:rsid w:val="003B4881"/>
    <w:rsid w:val="004002F3"/>
    <w:rsid w:val="0043772A"/>
    <w:rsid w:val="00462FD0"/>
    <w:rsid w:val="00497F62"/>
    <w:rsid w:val="00563BEA"/>
    <w:rsid w:val="00572F14"/>
    <w:rsid w:val="00587F2F"/>
    <w:rsid w:val="0059175F"/>
    <w:rsid w:val="005A68A8"/>
    <w:rsid w:val="005E14F2"/>
    <w:rsid w:val="005F2761"/>
    <w:rsid w:val="00616F35"/>
    <w:rsid w:val="006313CF"/>
    <w:rsid w:val="00632434"/>
    <w:rsid w:val="0063581F"/>
    <w:rsid w:val="006710F3"/>
    <w:rsid w:val="006C2C9D"/>
    <w:rsid w:val="006D6FE4"/>
    <w:rsid w:val="00702C5B"/>
    <w:rsid w:val="00712B70"/>
    <w:rsid w:val="00761DA1"/>
    <w:rsid w:val="007654A7"/>
    <w:rsid w:val="007C41E5"/>
    <w:rsid w:val="008653DE"/>
    <w:rsid w:val="008C4E9D"/>
    <w:rsid w:val="009915CA"/>
    <w:rsid w:val="009D3F0B"/>
    <w:rsid w:val="009E42DE"/>
    <w:rsid w:val="00A45274"/>
    <w:rsid w:val="00AB5F61"/>
    <w:rsid w:val="00BB58DD"/>
    <w:rsid w:val="00C63748"/>
    <w:rsid w:val="00CC2D3B"/>
    <w:rsid w:val="00D146B3"/>
    <w:rsid w:val="00D20296"/>
    <w:rsid w:val="00DC7F86"/>
    <w:rsid w:val="00E00E6C"/>
    <w:rsid w:val="00EB25FE"/>
    <w:rsid w:val="00ED2490"/>
    <w:rsid w:val="00EE1142"/>
    <w:rsid w:val="00EF419A"/>
    <w:rsid w:val="00F52991"/>
    <w:rsid w:val="00F9035E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1BBD3-E712-4959-88E1-58C77FE8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BE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53D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D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OITRZav</dc:creator>
  <cp:keywords/>
  <dc:description/>
  <cp:lastModifiedBy>Марина Лычёва</cp:lastModifiedBy>
  <cp:revision>9</cp:revision>
  <cp:lastPrinted>2025-01-20T06:54:00Z</cp:lastPrinted>
  <dcterms:created xsi:type="dcterms:W3CDTF">2025-01-03T09:54:00Z</dcterms:created>
  <dcterms:modified xsi:type="dcterms:W3CDTF">2025-01-20T08:57:00Z</dcterms:modified>
</cp:coreProperties>
</file>